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4"/>
          <w:szCs w:val="24"/>
          <w:color w:val="auto"/>
        </w:rPr>
      </w:pPr>
    </w:p>
    <w:tbl>
      <w:tblPr>
        <w:tblLayout w:type="fixed"/>
        <w:tblInd w:w="940" w:type="dxa"/>
        <w:tblCellMar>
          <w:top w:w="0" w:type="dxa"/>
          <w:left w:w="0" w:type="dxa"/>
          <w:bottom w:w="0" w:type="dxa"/>
          <w:right w:w="0" w:type="dxa"/>
        </w:tblCellMar>
      </w:tblPr>
      <w:tr>
        <w:trPr>
          <w:trHeight w:val="238"/>
        </w:trPr>
        <w:tc>
          <w:tcPr>
            <w:tcW w:w="312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000004"/>
                <w:w w:val="99"/>
              </w:rPr>
              <w:t>001-39877</w:t>
            </w:r>
          </w:p>
        </w:tc>
        <w:tc>
          <w:tcPr>
            <w:tcW w:w="282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85-3022075</w:t>
            </w:r>
          </w:p>
        </w:tc>
      </w:tr>
      <w:tr>
        <w:trPr>
          <w:trHeight w:val="189"/>
        </w:trPr>
        <w:tc>
          <w:tcPr>
            <w:tcW w:w="3120" w:type="dxa"/>
            <w:vAlign w:val="bottom"/>
          </w:tcPr>
          <w:p>
            <w:pPr>
              <w:jc w:val="center"/>
              <w:ind w:right="95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w w:val="98"/>
              </w:rPr>
              <w:t>(Commission</w:t>
            </w:r>
          </w:p>
        </w:tc>
        <w:tc>
          <w:tcPr>
            <w:tcW w:w="2820" w:type="dxa"/>
            <w:vAlign w:val="bottom"/>
          </w:tcPr>
          <w:p>
            <w:pPr>
              <w:jc w:val="center"/>
              <w:ind w:left="1010"/>
              <w:spacing w:after="0" w:line="18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File Number)</w:t>
            </w:r>
          </w:p>
        </w:tc>
        <w:tc>
          <w:tcPr>
            <w:tcW w:w="282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 West 23</w:t>
      </w:r>
      <w:r>
        <w:rPr>
          <w:rFonts w:ascii="Times New Roman" w:cs="Times New Roman" w:eastAsia="Times New Roman" w:hAnsi="Times New Roman"/>
          <w:sz w:val="23"/>
          <w:szCs w:val="23"/>
          <w:b w:val="1"/>
          <w:bCs w:val="1"/>
          <w:color w:val="auto"/>
          <w:vertAlign w:val="superscript"/>
        </w:rPr>
        <w:t>rd</w:t>
      </w:r>
      <w:r>
        <w:rPr>
          <w:rFonts w:ascii="Times New Roman" w:cs="Times New Roman" w:eastAsia="Times New Roman" w:hAnsi="Times New Roman"/>
          <w:sz w:val="18"/>
          <w:szCs w:val="18"/>
          <w:b w:val="1"/>
          <w:bCs w:val="1"/>
          <w:color w:val="auto"/>
        </w:rPr>
        <w:t xml:space="preserve"> Street</w:t>
      </w: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registrant’s principal executive offices, and zip code)</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(646) 397-2039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4"/>
          <w:szCs w:val="24"/>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3"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55"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49"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55"/>
        </w:trPr>
        <w:tc>
          <w:tcPr>
            <w:tcW w:w="490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0" w:type="dxa"/>
            <w:vAlign w:val="bottom"/>
          </w:tcPr>
          <w:p>
            <w:pPr>
              <w:spacing w:after="0"/>
              <w:rPr>
                <w:sz w:val="22"/>
                <w:szCs w:val="22"/>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Symbol(s)</w:t>
            </w:r>
          </w:p>
        </w:tc>
        <w:tc>
          <w:tcPr>
            <w:tcW w:w="220" w:type="dxa"/>
            <w:vAlign w:val="bottom"/>
          </w:tcPr>
          <w:p>
            <w:pPr>
              <w:spacing w:after="0"/>
              <w:rPr>
                <w:sz w:val="22"/>
                <w:szCs w:val="22"/>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on which registered</w:t>
            </w:r>
          </w:p>
        </w:tc>
      </w:tr>
      <w:tr>
        <w:trPr>
          <w:trHeight w:val="24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tc>
        <w:tc>
          <w:tcPr>
            <w:tcW w:w="2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BZFD</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25"/>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Redeemable warrants, each whole warrant exercisable for one</w:t>
            </w: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BZFDW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03"/>
        </w:trPr>
        <w:tc>
          <w:tcPr>
            <w:tcW w:w="51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share of Class A Common Stock at an exercise price of</w:t>
            </w:r>
          </w:p>
        </w:tc>
        <w:tc>
          <w:tcPr>
            <w:tcW w:w="2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tcPr>
          <w:p>
            <w:pPr>
              <w:spacing w:after="0"/>
              <w:rPr>
                <w:sz w:val="17"/>
                <w:szCs w:val="17"/>
                <w:color w:val="auto"/>
              </w:rPr>
            </w:pPr>
          </w:p>
        </w:tc>
      </w:tr>
      <w:tr>
        <w:trPr>
          <w:trHeight w:val="234"/>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approximately $46.00 per share</w:t>
            </w:r>
          </w:p>
        </w:tc>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r>
    </w:tbl>
    <w:p>
      <w:pPr>
        <w:spacing w:after="0" w:line="1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21"/>
          <w:szCs w:val="21"/>
          <w:b w:val="1"/>
          <w:bCs w:val="1"/>
          <w:color w:val="auto"/>
        </w:rPr>
        <w:t>x</w:t>
      </w:r>
    </w:p>
    <w:p>
      <w:pPr>
        <w:spacing w:after="0" w:line="7" w:lineRule="exact"/>
        <w:rPr>
          <w:sz w:val="20"/>
          <w:szCs w:val="20"/>
          <w:color w:val="auto"/>
        </w:rPr>
      </w:pPr>
    </w:p>
    <w:p>
      <w:pPr>
        <w:jc w:val="both"/>
        <w:spacing w:after="0" w:line="25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1862455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1086485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2, 2026, BuzzFeed, Inc. (the “Company”) held its 2026 annual meeting of stockholders (the “2026 Annual Meeting”). The following is a brief description of each proposal voted upon at the 2026 Annual Meeting, and the final voting results for each proposal. For more information about these proposals, refer to the Company’s definitive proxy statement filed with the U.S. Securities and Exchange Commission (the “SEC”) on April 23, 2026, and the supplemental proxy materials filed with the SEC on May 27, 2026 in connection with the 2026 Annual Meeting.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1: Election of Directors</w:t>
      </w:r>
    </w:p>
    <w:p>
      <w:pPr>
        <w:spacing w:after="0" w:line="17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Janet Rollé and Adam Rothstein were re-elected to the Company’s board of directors as Class II directors, to each serve a three-year term expiring at the 2029 annual meeting of stockholders and until such director’s successor is duly elected and qualified. The results of the election were as follows:</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Name of Nominee</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Withheld</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3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Janet Rollé</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73,277,359</w:t>
            </w:r>
          </w:p>
        </w:tc>
        <w:tc>
          <w:tcPr>
            <w:tcW w:w="12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990,015</w:t>
            </w:r>
          </w:p>
        </w:tc>
        <w:tc>
          <w:tcPr>
            <w:tcW w:w="8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17,049,410</w:t>
            </w:r>
          </w:p>
        </w:tc>
      </w:tr>
      <w:tr>
        <w:trPr>
          <w:trHeight w:val="234"/>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Adam Rothstein</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73,584,572</w:t>
            </w:r>
          </w:p>
        </w:tc>
        <w:tc>
          <w:tcPr>
            <w:tcW w:w="12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682,802</w:t>
            </w:r>
          </w:p>
        </w:tc>
        <w:tc>
          <w:tcPr>
            <w:tcW w:w="8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17,049,410</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2: Appointment of the Company’s Independent Registered Public Accounting Firm</w:t>
      </w:r>
    </w:p>
    <w:p>
      <w:pPr>
        <w:spacing w:after="0" w:line="25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stockholders ratified the appointment of CBIZ CPAs P.C. as the Company’s independent registered public accounting firm for the fiscal year ending December 31, 2026. The results of the vote were as follows:</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50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23"/>
        </w:trPr>
        <w:tc>
          <w:tcPr>
            <w:tcW w:w="338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90,981,426</w:t>
            </w:r>
          </w:p>
        </w:tc>
        <w:tc>
          <w:tcPr>
            <w:tcW w:w="100" w:type="dxa"/>
            <w:vAlign w:val="bottom"/>
            <w:tcBorders>
              <w:top w:val="single" w:sz="8" w:color="CCEEFF"/>
            </w:tcBorders>
            <w:shd w:val="clear" w:color="auto" w:fill="CCEEFF"/>
          </w:tcPr>
          <w:p>
            <w:pPr>
              <w:spacing w:after="0"/>
              <w:rPr>
                <w:sz w:val="19"/>
                <w:szCs w:val="19"/>
                <w:color w:val="auto"/>
              </w:rPr>
            </w:pPr>
          </w:p>
        </w:tc>
        <w:tc>
          <w:tcPr>
            <w:tcW w:w="3380" w:type="dxa"/>
            <w:vAlign w:val="bottom"/>
            <w:tcBorders>
              <w:top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313,813</w:t>
            </w:r>
          </w:p>
        </w:tc>
        <w:tc>
          <w:tcPr>
            <w:tcW w:w="120" w:type="dxa"/>
            <w:vAlign w:val="bottom"/>
            <w:tcBorders>
              <w:top w:val="single" w:sz="8" w:color="CCEEFF"/>
            </w:tcBorders>
            <w:shd w:val="clear" w:color="auto" w:fill="CCEEFF"/>
          </w:tcPr>
          <w:p>
            <w:pPr>
              <w:spacing w:after="0"/>
              <w:rPr>
                <w:sz w:val="19"/>
                <w:szCs w:val="19"/>
                <w:color w:val="auto"/>
              </w:rPr>
            </w:pPr>
          </w:p>
        </w:tc>
        <w:tc>
          <w:tcPr>
            <w:tcW w:w="338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21,545</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tc>
        <w:tc>
          <w:tcPr>
            <w:tcW w:w="9100" w:type="dxa"/>
            <w:vAlign w:val="bottom"/>
          </w:tcPr>
          <w:p>
            <w:pPr>
              <w:spacing w:after="0"/>
              <w:rPr>
                <w:sz w:val="20"/>
                <w:szCs w:val="20"/>
                <w:color w:val="auto"/>
              </w:rPr>
            </w:pPr>
          </w:p>
        </w:tc>
      </w:tr>
      <w:tr>
        <w:trPr>
          <w:trHeight w:val="439"/>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43"/>
        </w:trPr>
        <w:tc>
          <w:tcPr>
            <w:tcW w:w="1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1"/>
                <w:szCs w:val="21"/>
                <w:color w:val="auto"/>
              </w:rPr>
            </w:pPr>
          </w:p>
        </w:tc>
        <w:tc>
          <w:tcPr>
            <w:tcW w:w="9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02"/>
        </w:trPr>
        <w:tc>
          <w:tcPr>
            <w:tcW w:w="1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100" w:type="dxa"/>
            <w:vAlign w:val="bottom"/>
            <w:tcBorders>
              <w:bottom w:val="single" w:sz="8" w:color="auto"/>
            </w:tcBorders>
          </w:tcPr>
          <w:p>
            <w:pPr>
              <w:spacing w:after="0"/>
              <w:rPr>
                <w:sz w:val="17"/>
                <w:szCs w:val="17"/>
                <w:color w:val="auto"/>
              </w:rPr>
            </w:pPr>
          </w:p>
        </w:tc>
      </w:tr>
      <w:tr>
        <w:trPr>
          <w:trHeight w:val="1215"/>
        </w:trPr>
        <w:tc>
          <w:tcPr>
            <w:tcW w:w="1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7" w:lineRule="exact"/>
        <w:rPr>
          <w:sz w:val="20"/>
          <w:szCs w:val="20"/>
          <w:color w:val="auto"/>
        </w:rPr>
      </w:pPr>
    </w:p>
    <w:p>
      <w:pPr>
        <w:ind w:left="20"/>
        <w:spacing w:after="0"/>
        <w:tabs>
          <w:tab w:leader="none" w:pos="18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6/4/2026</w:t>
      </w:r>
    </w:p>
    <w:p>
      <w:pPr>
        <w:spacing w:after="0" w:line="4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0" w:lineRule="exact"/>
        <w:rPr>
          <w:sz w:val="20"/>
          <w:szCs w:val="20"/>
          <w:color w:val="auto"/>
        </w:rPr>
      </w:pPr>
    </w:p>
    <w:p>
      <w:pPr>
        <w:ind w:left="5460"/>
        <w:spacing w:after="0"/>
        <w:tabs>
          <w:tab w:leader="none" w:pos="7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26035</wp:posOffset>
            </wp:positionV>
            <wp:extent cx="26314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Name: Matthew Omer</w:t>
      </w:r>
    </w:p>
    <w:p>
      <w:pPr>
        <w:spacing w:after="0" w:line="50"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2026-06-04T15:32:01Z</dcterms:created>
  <dcterms:modified xsi:type="dcterms:W3CDTF">2026-06-04T15:32:01Z</dcterms:modified>
</cp:coreProperties>
</file>